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3BA" w:rsidRDefault="000C73BA" w:rsidP="000C73BA">
      <w:r>
        <w:t>Name</w:t>
      </w:r>
      <w:proofErr w:type="gramStart"/>
      <w:r>
        <w:t>:_</w:t>
      </w:r>
      <w:proofErr w:type="gramEnd"/>
      <w:r>
        <w:t>__________________</w:t>
      </w:r>
      <w:r w:rsidR="00E72299">
        <w:tab/>
      </w:r>
      <w:r w:rsidR="00E72299">
        <w:tab/>
      </w:r>
      <w:r w:rsidR="00E72299">
        <w:tab/>
      </w:r>
      <w:r w:rsidR="00E72299">
        <w:tab/>
      </w:r>
      <w:r w:rsidR="00E72299" w:rsidRPr="00E72299">
        <w:rPr>
          <w:rFonts w:ascii="Arial" w:hAnsi="Arial" w:cs="Arial"/>
          <w:noProof/>
          <w:sz w:val="20"/>
          <w:szCs w:val="20"/>
        </w:rPr>
        <w:t xml:space="preserve"> </w:t>
      </w:r>
      <w:r w:rsidR="00E72299">
        <w:rPr>
          <w:rFonts w:ascii="Arial" w:hAnsi="Arial" w:cs="Arial"/>
          <w:noProof/>
          <w:sz w:val="20"/>
          <w:szCs w:val="20"/>
        </w:rPr>
        <w:drawing>
          <wp:inline distT="0" distB="0" distL="0" distR="0" wp14:anchorId="26CA206A" wp14:editId="334A4A4A">
            <wp:extent cx="1615440" cy="1211580"/>
            <wp:effectExtent l="0" t="0" r="3810" b="7620"/>
            <wp:docPr id="1" name="Picture 1" descr="http://dublinlibrary.files.wordpress.com/2008/11/wicked-t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ublinlibrary.files.wordpress.com/2008/11/wicked-tre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15440" cy="1211580"/>
                    </a:xfrm>
                    <a:prstGeom prst="rect">
                      <a:avLst/>
                    </a:prstGeom>
                    <a:noFill/>
                    <a:ln>
                      <a:noFill/>
                    </a:ln>
                  </pic:spPr>
                </pic:pic>
              </a:graphicData>
            </a:graphic>
          </wp:inline>
        </w:drawing>
      </w:r>
    </w:p>
    <w:p w:rsidR="000C73BA" w:rsidRDefault="000C73BA" w:rsidP="000C73BA">
      <w:r>
        <w:t>Period</w:t>
      </w:r>
      <w:proofErr w:type="gramStart"/>
      <w:r>
        <w:t>:_</w:t>
      </w:r>
      <w:proofErr w:type="gramEnd"/>
      <w:r>
        <w:t>__________________</w:t>
      </w:r>
    </w:p>
    <w:p w:rsidR="000C73BA" w:rsidRDefault="000C73BA" w:rsidP="000C73BA">
      <w:pPr>
        <w:jc w:val="center"/>
      </w:pPr>
    </w:p>
    <w:p w:rsidR="000C73BA" w:rsidRDefault="000C73BA" w:rsidP="000C73BA">
      <w:r>
        <w:t xml:space="preserve">Directions: Order the following passages based upon what you know of unity and coherence.  Eliminate any sentences by placing an X in the “number” column if you feel that the sentence takes away from unity (ugly duckling sentence). </w:t>
      </w:r>
    </w:p>
    <w:tbl>
      <w:tblPr>
        <w:tblStyle w:val="TableGrid"/>
        <w:tblW w:w="0" w:type="auto"/>
        <w:tblLook w:val="04A0" w:firstRow="1" w:lastRow="0" w:firstColumn="1" w:lastColumn="0" w:noHBand="0" w:noVBand="1"/>
      </w:tblPr>
      <w:tblGrid>
        <w:gridCol w:w="468"/>
        <w:gridCol w:w="9108"/>
      </w:tblGrid>
      <w:tr w:rsidR="000C73BA" w:rsidTr="000C73BA">
        <w:tc>
          <w:tcPr>
            <w:tcW w:w="468" w:type="dxa"/>
          </w:tcPr>
          <w:p w:rsidR="000C73BA" w:rsidRDefault="000C73BA" w:rsidP="000C73BA"/>
        </w:tc>
        <w:tc>
          <w:tcPr>
            <w:tcW w:w="9108" w:type="dxa"/>
          </w:tcPr>
          <w:p w:rsidR="000C73BA" w:rsidRDefault="000C73BA" w:rsidP="000C73BA">
            <w:r>
              <w:t>This wasn’t the tame world of overgrown orchards and sun-dappled paths that passed for wilderness in suburban Concord, Massachusetts, but a forbidding, oppressive, primeval country that was “grim and wild . . . savage and dreary,” fit only for “men nearer of kin to the rocks and wild animals than we.”</w:t>
            </w:r>
          </w:p>
        </w:tc>
      </w:tr>
      <w:tr w:rsidR="000C73BA" w:rsidTr="000C73BA">
        <w:tc>
          <w:tcPr>
            <w:tcW w:w="468" w:type="dxa"/>
          </w:tcPr>
          <w:p w:rsidR="000C73BA" w:rsidRDefault="000C73BA" w:rsidP="000C73BA"/>
        </w:tc>
        <w:tc>
          <w:tcPr>
            <w:tcW w:w="9108" w:type="dxa"/>
          </w:tcPr>
          <w:p w:rsidR="000C73BA" w:rsidRDefault="000C73BA" w:rsidP="000C73BA">
            <w:r>
              <w:t>The American woods have been unnerving people for 300 years.</w:t>
            </w:r>
          </w:p>
        </w:tc>
      </w:tr>
      <w:tr w:rsidR="000C73BA" w:rsidTr="000C73BA">
        <w:tc>
          <w:tcPr>
            <w:tcW w:w="468" w:type="dxa"/>
          </w:tcPr>
          <w:p w:rsidR="000C73BA" w:rsidRDefault="000C73BA" w:rsidP="000C73BA"/>
        </w:tc>
        <w:tc>
          <w:tcPr>
            <w:tcW w:w="9108" w:type="dxa"/>
          </w:tcPr>
          <w:p w:rsidR="000C73BA" w:rsidRDefault="000C73BA" w:rsidP="000C73BA">
            <w:r>
              <w:t>The experience left him, in the words of one biographer, “near hysterical.”</w:t>
            </w:r>
          </w:p>
        </w:tc>
      </w:tr>
      <w:tr w:rsidR="000C73BA" w:rsidTr="000C73BA">
        <w:tc>
          <w:tcPr>
            <w:tcW w:w="468" w:type="dxa"/>
          </w:tcPr>
          <w:p w:rsidR="000C73BA" w:rsidRDefault="000C73BA" w:rsidP="000C73BA"/>
        </w:tc>
        <w:tc>
          <w:tcPr>
            <w:tcW w:w="9108" w:type="dxa"/>
          </w:tcPr>
          <w:p w:rsidR="000C73BA" w:rsidRDefault="000C73BA" w:rsidP="000C73BA">
            <w:r>
              <w:t xml:space="preserve">His cousin, who had grown orchards and tilled the earth for 30 years, also appreciated the dark cavernous mystery of America’s wild wilderness frontier. </w:t>
            </w:r>
          </w:p>
        </w:tc>
      </w:tr>
      <w:tr w:rsidR="000C73BA" w:rsidTr="000C73BA">
        <w:tc>
          <w:tcPr>
            <w:tcW w:w="468" w:type="dxa"/>
          </w:tcPr>
          <w:p w:rsidR="000C73BA" w:rsidRDefault="000C73BA" w:rsidP="000C73BA"/>
        </w:tc>
        <w:tc>
          <w:tcPr>
            <w:tcW w:w="9108" w:type="dxa"/>
          </w:tcPr>
          <w:p w:rsidR="000C73BA" w:rsidRDefault="000C73BA" w:rsidP="000C73BA">
            <w:r>
              <w:t>The inestimably priggish and tiresome Henry David Thoreau thought nature was splendid, splendid indeed, so long as he could stroll to town for cakes an</w:t>
            </w:r>
            <w:r w:rsidR="00E72299">
              <w:t>d</w:t>
            </w:r>
            <w:r>
              <w:t xml:space="preserve"> barley wine, but when he experienced real wilderness, on a visit to Katahdin in 1846, he was unnerved to the core. </w:t>
            </w:r>
          </w:p>
        </w:tc>
      </w:tr>
    </w:tbl>
    <w:p w:rsidR="000C73BA" w:rsidRDefault="000C73BA" w:rsidP="000C73BA"/>
    <w:tbl>
      <w:tblPr>
        <w:tblStyle w:val="TableGrid"/>
        <w:tblW w:w="0" w:type="auto"/>
        <w:tblLook w:val="04A0" w:firstRow="1" w:lastRow="0" w:firstColumn="1" w:lastColumn="0" w:noHBand="0" w:noVBand="1"/>
      </w:tblPr>
      <w:tblGrid>
        <w:gridCol w:w="468"/>
        <w:gridCol w:w="9108"/>
      </w:tblGrid>
      <w:tr w:rsidR="000C73BA" w:rsidTr="000C73BA">
        <w:tc>
          <w:tcPr>
            <w:tcW w:w="468" w:type="dxa"/>
          </w:tcPr>
          <w:p w:rsidR="000C73BA" w:rsidRDefault="000C73BA" w:rsidP="000C73BA"/>
        </w:tc>
        <w:tc>
          <w:tcPr>
            <w:tcW w:w="9108" w:type="dxa"/>
          </w:tcPr>
          <w:p w:rsidR="000C73BA" w:rsidRDefault="000C73BA" w:rsidP="000C73BA">
            <w:r>
              <w:t xml:space="preserve">Stand in a desert or prairie and you know you are in a big space. </w:t>
            </w:r>
          </w:p>
        </w:tc>
      </w:tr>
      <w:tr w:rsidR="000C73BA" w:rsidTr="000C73BA">
        <w:tc>
          <w:tcPr>
            <w:tcW w:w="468" w:type="dxa"/>
          </w:tcPr>
          <w:p w:rsidR="000C73BA" w:rsidRDefault="000C73BA" w:rsidP="000C73BA"/>
        </w:tc>
        <w:tc>
          <w:tcPr>
            <w:tcW w:w="9108" w:type="dxa"/>
          </w:tcPr>
          <w:p w:rsidR="000C73BA" w:rsidRDefault="000C73BA" w:rsidP="000C73BA">
            <w:r>
              <w:t xml:space="preserve">And they are alive. </w:t>
            </w:r>
          </w:p>
        </w:tc>
      </w:tr>
      <w:tr w:rsidR="000C73BA" w:rsidTr="000C73BA">
        <w:tc>
          <w:tcPr>
            <w:tcW w:w="468" w:type="dxa"/>
          </w:tcPr>
          <w:p w:rsidR="000C73BA" w:rsidRDefault="000C73BA" w:rsidP="000C73BA"/>
        </w:tc>
        <w:tc>
          <w:tcPr>
            <w:tcW w:w="9108" w:type="dxa"/>
          </w:tcPr>
          <w:p w:rsidR="000C73BA" w:rsidRDefault="008C2686" w:rsidP="000C73BA">
            <w:r>
              <w:t xml:space="preserve">Their trees surround you, loom over you, </w:t>
            </w:r>
            <w:proofErr w:type="gramStart"/>
            <w:r>
              <w:t>press</w:t>
            </w:r>
            <w:proofErr w:type="gramEnd"/>
            <w:r>
              <w:t xml:space="preserve"> in from all sides.</w:t>
            </w:r>
          </w:p>
        </w:tc>
      </w:tr>
      <w:tr w:rsidR="000C73BA" w:rsidTr="000C73BA">
        <w:tc>
          <w:tcPr>
            <w:tcW w:w="468" w:type="dxa"/>
          </w:tcPr>
          <w:p w:rsidR="000C73BA" w:rsidRDefault="000C73BA" w:rsidP="000C73BA"/>
        </w:tc>
        <w:tc>
          <w:tcPr>
            <w:tcW w:w="9108" w:type="dxa"/>
          </w:tcPr>
          <w:p w:rsidR="000C73BA" w:rsidRDefault="000C73BA" w:rsidP="000C73BA">
            <w:r>
              <w:t xml:space="preserve">Stand </w:t>
            </w:r>
            <w:proofErr w:type="gramStart"/>
            <w:r>
              <w:t>in a woods</w:t>
            </w:r>
            <w:proofErr w:type="gramEnd"/>
            <w:r>
              <w:t xml:space="preserve"> and you only sense it. </w:t>
            </w:r>
          </w:p>
        </w:tc>
      </w:tr>
      <w:tr w:rsidR="008C2686" w:rsidTr="000C73BA">
        <w:tc>
          <w:tcPr>
            <w:tcW w:w="468" w:type="dxa"/>
          </w:tcPr>
          <w:p w:rsidR="008C2686" w:rsidRDefault="008C2686" w:rsidP="000C73BA"/>
        </w:tc>
        <w:tc>
          <w:tcPr>
            <w:tcW w:w="9108" w:type="dxa"/>
          </w:tcPr>
          <w:p w:rsidR="008C2686" w:rsidRDefault="008C2686" w:rsidP="00E72299">
            <w:r>
              <w:t xml:space="preserve">They have a habit of being altogether welcoming in the general sense, without the </w:t>
            </w:r>
            <w:r w:rsidR="00E72299">
              <w:t>stain</w:t>
            </w:r>
            <w:r>
              <w:t xml:space="preserve"> of oppressiveness normally associated with vast oceanic spaces. </w:t>
            </w:r>
          </w:p>
        </w:tc>
      </w:tr>
      <w:tr w:rsidR="008C2686" w:rsidTr="000C73BA">
        <w:tc>
          <w:tcPr>
            <w:tcW w:w="468" w:type="dxa"/>
          </w:tcPr>
          <w:p w:rsidR="008C2686" w:rsidRDefault="008C2686" w:rsidP="000C73BA"/>
        </w:tc>
        <w:tc>
          <w:tcPr>
            <w:tcW w:w="9108" w:type="dxa"/>
          </w:tcPr>
          <w:p w:rsidR="008C2686" w:rsidRDefault="008C2686" w:rsidP="000C73BA">
            <w:r>
              <w:t xml:space="preserve">They make you feel small and confused and vulnerable, like a small child lost in a crowd of strange legs. </w:t>
            </w:r>
          </w:p>
        </w:tc>
      </w:tr>
      <w:tr w:rsidR="008C2686" w:rsidTr="000C73BA">
        <w:tc>
          <w:tcPr>
            <w:tcW w:w="468" w:type="dxa"/>
          </w:tcPr>
          <w:p w:rsidR="008C2686" w:rsidRDefault="008C2686" w:rsidP="000C73BA"/>
        </w:tc>
        <w:tc>
          <w:tcPr>
            <w:tcW w:w="9108" w:type="dxa"/>
          </w:tcPr>
          <w:p w:rsidR="008C2686" w:rsidRDefault="008C2686" w:rsidP="000C73BA">
            <w:r>
              <w:t>Woods are not like other spaces.</w:t>
            </w:r>
          </w:p>
        </w:tc>
      </w:tr>
      <w:tr w:rsidR="008C2686" w:rsidTr="000C73BA">
        <w:tc>
          <w:tcPr>
            <w:tcW w:w="468" w:type="dxa"/>
          </w:tcPr>
          <w:p w:rsidR="008C2686" w:rsidRDefault="008C2686" w:rsidP="000C73BA"/>
        </w:tc>
        <w:tc>
          <w:tcPr>
            <w:tcW w:w="9108" w:type="dxa"/>
          </w:tcPr>
          <w:p w:rsidR="008C2686" w:rsidRDefault="008C2686" w:rsidP="000C73BA">
            <w:r>
              <w:t>To begin with, they are cubic.</w:t>
            </w:r>
          </w:p>
        </w:tc>
      </w:tr>
      <w:tr w:rsidR="008C2686" w:rsidTr="000C73BA">
        <w:tc>
          <w:tcPr>
            <w:tcW w:w="468" w:type="dxa"/>
          </w:tcPr>
          <w:p w:rsidR="008C2686" w:rsidRDefault="008C2686" w:rsidP="000C73BA"/>
        </w:tc>
        <w:tc>
          <w:tcPr>
            <w:tcW w:w="9108" w:type="dxa"/>
          </w:tcPr>
          <w:p w:rsidR="008C2686" w:rsidRDefault="008C2686" w:rsidP="000C73BA">
            <w:r>
              <w:t xml:space="preserve">Woods choke off views and leave you muddled and without bearings. </w:t>
            </w:r>
          </w:p>
        </w:tc>
      </w:tr>
      <w:tr w:rsidR="009A53DF" w:rsidTr="000C73BA">
        <w:tc>
          <w:tcPr>
            <w:tcW w:w="468" w:type="dxa"/>
          </w:tcPr>
          <w:p w:rsidR="009A53DF" w:rsidRDefault="009A53DF" w:rsidP="000C73BA"/>
        </w:tc>
        <w:tc>
          <w:tcPr>
            <w:tcW w:w="9108" w:type="dxa"/>
          </w:tcPr>
          <w:p w:rsidR="009A53DF" w:rsidRDefault="009A53DF" w:rsidP="000C73BA">
            <w:r>
              <w:t xml:space="preserve">They are a vast featureless nowhere. </w:t>
            </w:r>
            <w:bookmarkStart w:id="0" w:name="_GoBack"/>
            <w:bookmarkEnd w:id="0"/>
          </w:p>
        </w:tc>
      </w:tr>
    </w:tbl>
    <w:p w:rsidR="000C73BA" w:rsidRDefault="000C73BA" w:rsidP="000C73BA"/>
    <w:p w:rsidR="008C2686" w:rsidRDefault="008C2686" w:rsidP="000C73BA"/>
    <w:p w:rsidR="008C2686" w:rsidRDefault="008C2686" w:rsidP="000C73BA">
      <w:r>
        <w:t xml:space="preserve">Finally—circle the words or phrases that hinted at the “order of things” for the paragraph—that which might have led you to develop the order of sentences and the nature of its coherence. </w:t>
      </w:r>
    </w:p>
    <w:sectPr w:rsidR="008C26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BA"/>
    <w:rsid w:val="000C73BA"/>
    <w:rsid w:val="008C2686"/>
    <w:rsid w:val="009A53DF"/>
    <w:rsid w:val="00A92D4A"/>
    <w:rsid w:val="00E72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7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72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2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7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72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2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3</cp:revision>
  <dcterms:created xsi:type="dcterms:W3CDTF">2012-09-08T19:52:00Z</dcterms:created>
  <dcterms:modified xsi:type="dcterms:W3CDTF">2012-09-22T16:19:00Z</dcterms:modified>
</cp:coreProperties>
</file>